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data</w:t>
      </w:r>
      <w:r>
        <w:t xml:space="preserve"> </w:t>
      </w:r>
      <w:r>
        <w:t xml:space="preserve">integration</w:t>
      </w:r>
      <w:r>
        <w:t xml:space="preserve"> </w:t>
      </w:r>
      <w:r>
        <w:t xml:space="preserve">tool</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It drives different subtypes in breast cancer and</w:t>
      </w:r>
      <w:r>
        <w:t xml:space="preserve"> </w:t>
      </w:r>
      <w:r>
        <w:t xml:space="preserve">treatment decisions. If a patient is diagnosed</w:t>
      </w:r>
      <w:r>
        <w:t xml:space="preserve"> </w:t>
      </w:r>
      <w:r>
        <w:t xml:space="preserve">with breast cancer and has immunohistochemistry (IHC) percentage higher or equal</w:t>
      </w:r>
      <w:r>
        <w:t xml:space="preserve"> </w:t>
      </w:r>
      <w:r>
        <w:t xml:space="preserve">than 1% for</w:t>
      </w:r>
      <w:r>
        <w:t xml:space="preserve"> </w:t>
      </w:r>
      <w:r>
        <w:t xml:space="preserve">estrogen receptor, they will receive standard endocrine therapy. We</w:t>
      </w:r>
      <w:r>
        <w:t xml:space="preserve"> </w:t>
      </w:r>
      <w:r>
        <w:t xml:space="preserve">hypothesized that there are differences in endocrine therapy among estrogen</w:t>
      </w:r>
      <w:r>
        <w:t xml:space="preserve"> </w:t>
      </w:r>
      <w:r>
        <w:t xml:space="preserve">receptor positive patients based on the molecular estrogen signaling. We show</w:t>
      </w:r>
      <w:r>
        <w:t xml:space="preserve"> </w:t>
      </w:r>
      <w:r>
        <w:t xml:space="preserve">here that estrogen signaling is a continuous status rather than</w:t>
      </w:r>
      <w:r>
        <w:t xml:space="preserve"> </w:t>
      </w:r>
      <w:r>
        <w:t xml:space="preserve">dichotomous based on molecular signatures. Given the estrogen</w:t>
      </w:r>
      <w:r>
        <w:t xml:space="preserve"> </w:t>
      </w:r>
      <w:r>
        <w:t xml:space="preserve">signaling score continuity we propose</w:t>
      </w:r>
      <w:r>
        <w:t xml:space="preserve"> </w:t>
      </w:r>
      <w:r>
        <w:t xml:space="preserve">a new framework for personalized medicine to better understand the</w:t>
      </w:r>
      <w:r>
        <w:t xml:space="preserve"> </w:t>
      </w:r>
      <w:r>
        <w:t xml:space="preserve">molecular biology of patients that have different scores.</w:t>
      </w:r>
      <w:r>
        <w:t xml:space="preserve"> </w:t>
      </w:r>
      <w:r>
        <w:t xml:space="preserve">We introduce a novel single sample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 The embedding</w:t>
      </w:r>
      <w:r>
        <w:t xml:space="preserve"> </w:t>
      </w:r>
      <w:r>
        <w:t xml:space="preserve">is not dependent of tumor purity, age and other clinical variables but other</w:t>
      </w:r>
      <w:r>
        <w:t xml:space="preserve"> </w:t>
      </w:r>
      <w:r>
        <w:t xml:space="preserve">pathways, such as G2M Checkpoint, Epithelial to Mesenchymal Transition</w:t>
      </w:r>
      <w:r>
        <w:t xml:space="preserve"> </w:t>
      </w:r>
      <w:r>
        <w:t xml:space="preserve">(EMT) and PI3K AKT MTOR signaling drive the embedding.</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 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diagnosed tumor worldwide</w:t>
      </w:r>
      <w:r>
        <w:t xml:space="preserve"> </w:t>
      </w:r>
      <w:r>
        <w:t xml:space="preserve">(1)</w:t>
      </w:r>
      <w:r>
        <w:t xml:space="preserve">.</w:t>
      </w:r>
      <w:r>
        <w:t xml:space="preserve"> </w:t>
      </w:r>
      <w:r>
        <w:t xml:space="preserve">It is a very heterogeneous disease that can be subdivided in</w:t>
      </w:r>
      <w:r>
        <w:t xml:space="preserve"> </w:t>
      </w:r>
      <w:r>
        <w:t xml:space="preserve">different histological and molecular subtypes. Patients that are diagnosed with</w:t>
      </w:r>
      <w:r>
        <w:t xml:space="preserve"> </w:t>
      </w:r>
      <w:r>
        <w:t xml:space="preserve">breast cancer are classified based on the expression of the estrogen,</w:t>
      </w:r>
      <w:r>
        <w:t xml:space="preserve"> </w:t>
      </w:r>
      <w:r>
        <w:t xml:space="preserve">progesterone receptors and HER2 membrane protein.</w:t>
      </w:r>
      <w:r>
        <w:t xml:space="preserve"> </w:t>
      </w:r>
      <w:r>
        <w:t xml:space="preserve">The</w:t>
      </w:r>
      <w:r>
        <w:t xml:space="preserve"> </w:t>
      </w:r>
      <w:r>
        <w:t xml:space="preserve">estrogen receptor positive (ER+) breast cancer subtype is the most</w:t>
      </w:r>
      <w:r>
        <w:t xml:space="preserve"> </w:t>
      </w:r>
      <w:r>
        <w:t xml:space="preserve">frequent found in clinical practice (more than 70% of the cases)</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positive cells</w:t>
      </w:r>
      <w:r>
        <w:t xml:space="preserve"> </w:t>
      </w:r>
      <w:r>
        <w:t xml:space="preserve">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revolutionized cancer research.</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clinically used</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For example,</w:t>
      </w:r>
      <w:r>
        <w:t xml:space="preserve"> </w:t>
      </w:r>
      <w:r>
        <w:t xml:space="preserve">the recurrence score (RS) is strongly associated with the estrogen module and</w:t>
      </w:r>
      <w:r>
        <w:t xml:space="preserve"> </w:t>
      </w:r>
      <w:r>
        <w:t xml:space="preserve">in the Risk of Recurrence (ROR) signature there is a strong correlation</w:t>
      </w:r>
      <w:r>
        <w:t xml:space="preserve"> </w:t>
      </w:r>
      <w:r>
        <w:t xml:space="preserve">with its proliferation module</w:t>
      </w:r>
      <w:r>
        <w:t xml:space="preserve"> </w:t>
      </w:r>
      <w:r>
        <w:t xml:space="preserve">(11)</w:t>
      </w:r>
      <w:r>
        <w:t xml:space="preserve">.</w:t>
      </w:r>
    </w:p>
    <w:p>
      <w:pPr>
        <w:pStyle w:val="BodyText"/>
      </w:pPr>
      <w:r>
        <w:t xml:space="preserve">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single sample way.</w:t>
      </w:r>
      <w:r>
        <w:t xml:space="preserve"> </w:t>
      </w:r>
      <w:r>
        <w:t xml:space="preserve">Usually integration is a one</w:t>
      </w:r>
      <w:r>
        <w:t xml:space="preserve"> </w:t>
      </w:r>
      <w:r>
        <w:t xml:space="preserve">step procedure and cannot be updated. The common tools used in the</w:t>
      </w:r>
      <w:r>
        <w:t xml:space="preserve"> </w:t>
      </w:r>
      <w:r>
        <w:t xml:space="preserve">RNA-seq community for batch effect removal are</w:t>
      </w:r>
      <w:r>
        <w:t xml:space="preserve"> </w:t>
      </w:r>
      <w:r>
        <w:t xml:space="preserve">(12–14)</w:t>
      </w:r>
      <w:r>
        <w:t xml:space="preserve"> </w:t>
      </w:r>
      <w:r>
        <w:t xml:space="preserve">and new samples cannot be integrated</w:t>
      </w:r>
      <w:r>
        <w:t xml:space="preserve"> </w:t>
      </w:r>
      <w:r>
        <w:t xml:space="preserve">in a straight forward manner.</w:t>
      </w:r>
      <w:r>
        <w:t xml:space="preserve"> </w:t>
      </w:r>
      <w:r>
        <w:t xml:space="preserve">The only way is to re-run the procedure together with the new sample.</w:t>
      </w:r>
      <w:r>
        <w:t xml:space="preserve"> </w:t>
      </w:r>
      <w:r>
        <w:t xml:space="preserve">Such procedure is not usually feasible as there are not enough samples to</w:t>
      </w:r>
      <w:r>
        <w:t xml:space="preserve"> </w:t>
      </w:r>
      <w:r>
        <w:t xml:space="preserve">estimate batch effects across groups and therefore correct them.</w:t>
      </w:r>
    </w:p>
    <w:p>
      <w:pPr>
        <w:pStyle w:val="BodyText"/>
      </w:pPr>
      <w:r>
        <w:t xml:space="preserve">We propose here a framework for personalized medicine and the understanding</w:t>
      </w:r>
      <w:r>
        <w:t xml:space="preserve"> </w:t>
      </w:r>
      <w:r>
        <w:t xml:space="preserve">of the signaling pathways at the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By putting the datasets</w:t>
      </w:r>
      <w:r>
        <w:t xml:space="preserve"> </w:t>
      </w:r>
      <w:r>
        <w:t xml:space="preserve">together we can explore the full molecular landscape of</w:t>
      </w:r>
      <w:r>
        <w:t xml:space="preserve"> </w:t>
      </w:r>
      <w:r>
        <w:t xml:space="preserve">RNA-seq and microarray samples together. The learned representation</w:t>
      </w:r>
      <w:r>
        <w:t xml:space="preserve"> </w:t>
      </w:r>
      <w:r>
        <w:t xml:space="preserve">allows us to add new single samples. It is then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provide novel mechanistic insights of</w:t>
      </w:r>
      <w:r>
        <w:t xml:space="preserve"> </w:t>
      </w:r>
      <w:r>
        <w:t xml:space="preserve">the patient specific tumor biology.</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principal component analysis</w:t>
      </w:r>
      <w:r>
        <w:t xml:space="preserve"> </w:t>
      </w:r>
      <w:r>
        <w:t xml:space="preserve">(PCA) embeddings and perform the validation. The samples are from TCGA,</w:t>
      </w:r>
      <w:r>
        <w:t xml:space="preserve"> </w:t>
      </w:r>
      <w:r>
        <w:t xml:space="preserve">SCANB and METABRIC are representative of the different breast cancer</w:t>
      </w:r>
      <w:r>
        <w:t xml:space="preserve"> </w:t>
      </w:r>
      <w:r>
        <w:t xml:space="preserve">molecular subtypes in each respective country of the study. For these</w:t>
      </w:r>
      <w:r>
        <w:t xml:space="preserve"> </w:t>
      </w:r>
      <w:r>
        <w:t xml:space="preserve">three cohorts, the samples are from primary breast cancer.</w:t>
      </w:r>
      <w:r>
        <w:t xml:space="preserve"> </w:t>
      </w:r>
      <w:r>
        <w:t xml:space="preserve">The POETIC trial data corresponds only post-menopausal women that</w:t>
      </w:r>
      <w:r>
        <w:t xml:space="preserve"> </w:t>
      </w:r>
      <w:r>
        <w:t xml:space="preserve">were diagnosed with primary breast cancer and are considered to have</w:t>
      </w:r>
      <w:r>
        <w:t xml:space="preserve"> </w:t>
      </w:r>
      <w:r>
        <w:t xml:space="preserve">an estrogen receptor positive status in the initial diagnosis.</w:t>
      </w:r>
    </w:p>
    <w:p>
      <w:pPr>
        <w:pStyle w:val="BodyText"/>
      </w:pPr>
      <w:r>
        <w:t xml:space="preserve">TCGA was downloaded from Firebrowse, SCANB data</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r>
            <m:rPr>
              <m:sty m:val="p"/>
            </m:rPr>
            <m:t>,</m:t>
          </m:r>
        </m:oMath>
      </m:oMathPara>
    </w:p>
    <w:p>
      <w:pPr>
        <w:pStyle w:val="FirstParagraph"/>
      </w:pPr>
      <w:r>
        <w:t xml:space="preserve">where k corresopnds to the number of cohorts, in this case</w:t>
      </w:r>
      <w:r>
        <w:t xml:space="preserve"> </w:t>
      </w:r>
      <m:oMath>
        <m:r>
          <m:t>k</m:t>
        </m:r>
        <m:r>
          <m:rPr>
            <m:sty m:val="p"/>
          </m:rPr>
          <m:t>=</m:t>
        </m:r>
        <m:r>
          <m:t>2</m:t>
        </m:r>
      </m:oMath>
      <w:r>
        <w:t xml:space="preserve">.</w:t>
      </w:r>
    </w:p>
    <w:bookmarkEnd w:id="23"/>
    <w:bookmarkStart w:id="24"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(22)</w:t>
      </w:r>
      <w:r>
        <w:t xml:space="preserve"> </w:t>
      </w:r>
      <w:r>
        <w:t xml:space="preserve">and 1000</w:t>
      </w:r>
      <w:r>
        <w:t xml:space="preserve"> </w:t>
      </w:r>
      <w:r>
        <w:t xml:space="preserve">genes selected,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The package PCAtools</w:t>
      </w:r>
      <w:r>
        <w:t xml:space="preserve"> </w:t>
      </w:r>
      <w:r>
        <w:t xml:space="preserve">(23)</w:t>
      </w:r>
      <w:r>
        <w:t xml:space="preserve"> </w:t>
      </w:r>
      <w:r>
        <w:t xml:space="preserve">in R was used to perform the PCA</w:t>
      </w:r>
      <w:r>
        <w:t xml:space="preserve"> </w:t>
      </w:r>
      <w:r>
        <w:t xml:space="preserve">obtain the loadings for downstream analysis.</w:t>
      </w:r>
      <w:r>
        <w:t xml:space="preserve"> </w:t>
      </w:r>
      <w:r>
        <w:t xml:space="preserve">PCA was used without centering and scaling.</w:t>
      </w:r>
      <w:r>
        <w:t xml:space="preserve"> </w:t>
      </w:r>
      <w:r>
        <w:t xml:space="preserve">The embedding for new individual samples is obtained by multiplying the</w:t>
      </w:r>
      <w:r>
        <w:t xml:space="preserve"> </w:t>
      </w:r>
      <w:r>
        <w:t xml:space="preserve">loadings matrix with the normalized data for that sample.</w:t>
      </w:r>
      <w:r>
        <w:t xml:space="preserve"> </w:t>
      </w:r>
      <w:r>
        <w:t xml:space="preserve">For samples where not all the 1044 genes are available,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38" w:name="results"/>
    <w:p>
      <w:pPr>
        <w:pStyle w:val="Heading1"/>
      </w:pPr>
      <w:r>
        <w:t xml:space="preserve">Results</w:t>
      </w:r>
    </w:p>
    <w:bookmarkStart w:id="33" w:name="X633ce97e93a0a691fe123c63efef0b03e7b6db6"/>
    <w:p>
      <w:pPr>
        <w:pStyle w:val="Heading2"/>
      </w:pPr>
      <w:r>
        <w:t xml:space="preserve">Estrogen receptor signaling is a clinical continuous variable</w:t>
      </w:r>
    </w:p>
    <w:p>
      <w:pPr>
        <w:pStyle w:val="FirstParagraph"/>
      </w:pPr>
      <w:r>
        <w:t xml:space="preserve">Estrogen receptor status determines if a patient will receive endocrine</w:t>
      </w:r>
      <w:r>
        <w:t xml:space="preserve"> </w:t>
      </w:r>
      <w:r>
        <w:t xml:space="preserve">therapy or not. The status is not the only way to determine the estrogen</w:t>
      </w:r>
      <w:r>
        <w:t xml:space="preserve"> </w:t>
      </w:r>
      <w:r>
        <w:t xml:space="preserve">signaling and have a clinical meaning.</w:t>
      </w:r>
      <w:r>
        <w:t xml:space="preserve"> </w:t>
      </w:r>
      <w:r>
        <w:t xml:space="preserve">One way to define estrogen signaling is to calculate scores derived from gene</w:t>
      </w:r>
      <w:r>
        <w:t xml:space="preserve"> </w:t>
      </w:r>
      <w:r>
        <w:t xml:space="preserve">expression levels of bulk RNA-sequencing. This provides a continuous measure</w:t>
      </w:r>
      <w:r>
        <w:t xml:space="preserve"> </w:t>
      </w:r>
      <w:r>
        <w:t xml:space="preserve">for estrogen signaling that can be used to understand the impact of</w:t>
      </w:r>
      <w:r>
        <w:t xml:space="preserve"> </w:t>
      </w:r>
      <w:r>
        <w:t xml:space="preserve">endocrine therapy.</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Such sampling</w:t>
      </w:r>
      <w:r>
        <w:t xml:space="preserve"> </w:t>
      </w:r>
      <w:r>
        <w:t xml:space="preserve">may avoid a bias on the coefficients</w:t>
      </w:r>
      <w:r>
        <w:t xml:space="preserve"> </w:t>
      </w:r>
      <w:r>
        <w:t xml:space="preserve">due to chemotherapy, as patients that receive chemotherapy tend to have</w:t>
      </w:r>
      <w:r>
        <w:t xml:space="preserve"> </w:t>
      </w:r>
      <w:r>
        <w:t xml:space="preserve">a worst outcome in general compared to those that do not receive.</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signaling. For both</w:t>
      </w:r>
      <w:r>
        <w:t xml:space="preserve"> </w:t>
      </w:r>
      <w:r>
        <w:t xml:space="preserve">estrogen pathways of the hallmark collection of gene sets,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bookmarkEnd w:id="33"/>
    <w:bookmarkStart w:id="34" w:name="X2f6208039ce2e3ad2a2fd5cafe5356ffe0ce082"/>
    <w:p>
      <w:pPr>
        <w:pStyle w:val="Heading2"/>
      </w:pPr>
      <w:r>
        <w:t xml:space="preserve">Single sample integration preserves relevant breast cancer properties</w:t>
      </w:r>
    </w:p>
    <w:p>
      <w:pPr>
        <w:pStyle w:val="FirstParagraph"/>
      </w:pPr>
      <w:r>
        <w:t xml:space="preserve">The ER signaling score shows that even among ER+ BC patients there is</w:t>
      </w:r>
      <w:r>
        <w:t xml:space="preserve"> </w:t>
      </w:r>
      <w:r>
        <w:t xml:space="preserve">a possible difference in response to ET. We aimed here to integrate</w:t>
      </w:r>
      <w:r>
        <w:t xml:space="preserve"> </w:t>
      </w:r>
      <w:r>
        <w:t xml:space="preserve">the differente datasets so we can analyse each patient individually</w:t>
      </w:r>
      <w:r>
        <w:t xml:space="preserve"> </w:t>
      </w:r>
      <w:r>
        <w:t xml:space="preserve">on the molecular level given its neighborhood.</w:t>
      </w:r>
      <w:r>
        <w:t xml:space="preserve"> </w:t>
      </w:r>
      <w:r>
        <w:t xml:space="preserve">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which is an embedding of the molecular data into a common space for all</w:t>
      </w:r>
      <w:r>
        <w:t xml:space="preserve"> </w:t>
      </w:r>
      <w:r>
        <w:t xml:space="preserve">samples.</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ESR1 and TFF1</w:t>
      </w:r>
      <w:r>
        <w:t xml:space="preserve"> </w:t>
      </w:r>
      <w:r>
        <w:t xml:space="preserve">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w:t>
      </w:r>
      <w:r>
        <w:t xml:space="preserve"> </w:t>
      </w:r>
      <w:r>
        <w:t xml:space="preserve">overlapping across the two cohorts.</w:t>
      </w:r>
      <w:r>
        <w:t xml:space="preserve"> </w:t>
      </w:r>
      <w:r>
        <w:t xml:space="preserve">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validating the meaning of the overlaping of the samples.</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the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Other clinical</w:t>
      </w:r>
      <w:r>
        <w:t xml:space="preserve"> </w:t>
      </w:r>
      <w:r>
        <w:t xml:space="preserve">factors, such as tumor stage, node stage, age, NPI and tumor purity</w:t>
      </w:r>
      <w:r>
        <w:t xml:space="preserve"> </w:t>
      </w:r>
      <w:r>
        <w:t xml:space="preserve">show no influence in the embedding (Figure S2).</w:t>
      </w:r>
    </w:p>
    <w:p>
      <w:pPr>
        <w:pStyle w:val="BodyText"/>
      </w:pPr>
      <w:r>
        <w:t xml:space="preserve">Missing genes are a problem inherent to publicly available</w:t>
      </w:r>
      <w:r>
        <w:t xml:space="preserve"> </w:t>
      </w:r>
      <w:r>
        <w:t xml:space="preserve">datasets. We try to understand</w:t>
      </w:r>
      <w:r>
        <w:t xml:space="preserve"> </w:t>
      </w:r>
      <w:r>
        <w:t xml:space="preserve">the effect of missing genes in the embedding based on their loading values.</w:t>
      </w:r>
      <w:r>
        <w:t xml:space="preserve"> </w:t>
      </w:r>
      <w:r>
        <w:t xml:space="preserve">Ideally if a low number of genes with high loadings are missing, it should</w:t>
      </w:r>
      <w:r>
        <w:t xml:space="preserve"> </w:t>
      </w:r>
      <w:r>
        <w:t xml:space="preserve">not affect the embedding. On the other hand, the more genes missing</w:t>
      </w:r>
      <w:r>
        <w:t xml:space="preserve"> </w:t>
      </w:r>
      <w:r>
        <w:t xml:space="preserve">with high loadings, the more it will impact the embedding, as PCA takes</w:t>
      </w:r>
      <w:r>
        <w:t xml:space="preserve"> </w:t>
      </w:r>
      <w:r>
        <w:t xml:space="preserve">a weighted linear combination of the gene expression values based</w:t>
      </w:r>
      <w:r>
        <w:t xml:space="preserve"> </w:t>
      </w:r>
      <w:r>
        <w:t xml:space="preserve">on the loadings. We removed 200</w:t>
      </w:r>
      <w:r>
        <w:t xml:space="preserve"> </w:t>
      </w:r>
      <w:r>
        <w:t xml:space="preserve">genes in total with a varying proportion of top loading genes</w:t>
      </w:r>
      <w:r>
        <w:t xml:space="preserve"> </w:t>
      </w:r>
      <w:r>
        <w:t xml:space="preserve">(ranging from 0 to 100% with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(f)). The</w:t>
      </w:r>
      <w:r>
        <w:t xml:space="preserve"> </w:t>
      </w:r>
      <w:r>
        <w:t xml:space="preserve">higher the proportion the less precise the embedding is, with the</w:t>
      </w:r>
      <w:r>
        <w:t xml:space="preserve"> </w:t>
      </w:r>
      <w:r>
        <w:t xml:space="preserve">embedding converging towards the origin, i.e.,</w:t>
      </w:r>
      <w:r>
        <w:t xml:space="preserve"> </w:t>
      </w:r>
      <w:r>
        <w:t xml:space="preserve">the (0,0) coordinates (</w:t>
      </w:r>
      <w:hyperlink w:anchor="fig-02">
        <w:r>
          <w:rPr>
            <w:rStyle w:val="Hyperlink"/>
          </w:rPr>
          <w:t xml:space="preserve">Figure 2</w:t>
        </w:r>
      </w:hyperlink>
      <w:r>
        <w:t xml:space="preserve"> </w:t>
      </w:r>
      <w:r>
        <w:t xml:space="preserve">(f)).</w:t>
      </w:r>
    </w:p>
    <w:p>
      <w:pPr>
        <w:pStyle w:val="BodyText"/>
      </w:pPr>
      <w:r>
        <w:t xml:space="preserve">In order to check the robustness of the procedure, we redid all the</w:t>
      </w:r>
      <w:r>
        <w:t xml:space="preserve"> </w:t>
      </w:r>
      <w:r>
        <w:t xml:space="preserve">pipeline 10 times with 10 random subsets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(e)).</w:t>
      </w:r>
    </w:p>
    <w:bookmarkEnd w:id="34"/>
    <w:bookmarkStart w:id="35"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Similar to the previous</w:t>
      </w:r>
      <w:r>
        <w:t xml:space="preserve"> </w:t>
      </w:r>
      <w:r>
        <w:t xml:space="preserve">results, SCANB is also overlapping with METABRIC and TCGA (</w:t>
      </w:r>
      <w:hyperlink w:anchor="fig-03">
        <w:r>
          <w:rPr>
            <w:rStyle w:val="Hyperlink"/>
          </w:rPr>
          <w:t xml:space="preserve">Figure 3</w:t>
        </w:r>
      </w:hyperlink>
      <w:r>
        <w:t xml:space="preserve"> </w:t>
      </w:r>
      <w:r>
        <w:t xml:space="preserve">(a)).</w:t>
      </w:r>
      <w:r>
        <w:t xml:space="preserve"> </w:t>
      </w:r>
      <w:r>
        <w:t xml:space="preserve">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on top of the other samples coming</w:t>
      </w:r>
      <w:r>
        <w:t xml:space="preserve"> </w:t>
      </w:r>
      <w:r>
        <w:t xml:space="preserve">from TCGA and METABRIC. We show</w:t>
      </w:r>
      <w:r>
        <w:t xml:space="preserve"> </w:t>
      </w:r>
      <w:r>
        <w:t xml:space="preserve">that the embedding works for the SMC cohort</w:t>
      </w:r>
      <w:r>
        <w:t xml:space="preserve"> </w:t>
      </w:r>
      <w:r>
        <w:t xml:space="preserve">(29)</w:t>
      </w:r>
      <w:r>
        <w:t xml:space="preserve"> </w:t>
      </w:r>
      <w:r>
        <w:t xml:space="preserve">(Figure S3). As an RNA-seq cohort, it is expected that</w:t>
      </w:r>
      <w:r>
        <w:t xml:space="preserve"> </w:t>
      </w:r>
      <w:r>
        <w:t xml:space="preserve">SCANB samples will be closer to TCGA than to METABRIC when removing batch</w:t>
      </w:r>
      <w:r>
        <w:t xml:space="preserve"> </w:t>
      </w:r>
      <w:r>
        <w:t xml:space="preserve">effects, mostly due to platform.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w:t>
      </w:r>
    </w:p>
    <w:bookmarkEnd w:id="35"/>
    <w:bookmarkStart w:id="36"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w:t>
      </w:r>
      <w:r>
        <w:t xml:space="preserve">were sent for microarray hybridization.</w:t>
      </w:r>
      <w:r>
        <w:t xml:space="preserve"> </w:t>
      </w:r>
      <w:r>
        <w:t xml:space="preserve">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In order to gain insights on the differences between</w:t>
      </w:r>
      <w:r>
        <w:t xml:space="preserve"> </w:t>
      </w:r>
      <w:r>
        <w:t xml:space="preserve">responders and non responders,</w:t>
      </w:r>
      <w:r>
        <w:t xml:space="preserve"> </w:t>
      </w:r>
      <w:r>
        <w:t xml:space="preserve">we embedded the POETIC trial samples using the procedure and</w:t>
      </w:r>
      <w:r>
        <w:t xml:space="preserve"> </w:t>
      </w:r>
      <w:r>
        <w:t xml:space="preserve">studied molecular landscape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consistent with</w:t>
      </w:r>
      <w:r>
        <w:t xml:space="preserve"> </w:t>
      </w:r>
      <w:r>
        <w:t xml:space="preserve">patients having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such as EMT, E2F targets,</w:t>
      </w:r>
      <w:r>
        <w:t xml:space="preserve"> </w:t>
      </w:r>
      <w:r>
        <w:t xml:space="preserve">P53 and TGF</w:t>
      </w:r>
      <m:oMath>
        <m:r>
          <m:t>β</m:t>
        </m:r>
      </m:oMath>
      <w:r>
        <w:t xml:space="preserve"> </w:t>
      </w:r>
      <w:r>
        <w:t xml:space="preserve">signaling along with their average posterior</w:t>
      </w:r>
      <w:r>
        <w:t xml:space="preserve"> </w:t>
      </w:r>
      <w:r>
        <w:t xml:space="preserve">distributions are shown for both patients.</w:t>
      </w:r>
    </w:p>
    <w:bookmarkEnd w:id="36"/>
    <w:bookmarkStart w:id="37"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We identify several pathways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additional adjuvant therapy targeting this specific pathway. Current</w:t>
      </w:r>
      <w:r>
        <w:t xml:space="preserve"> </w:t>
      </w:r>
      <w:r>
        <w:t xml:space="preserve">clinical trials</w:t>
      </w:r>
      <w:r>
        <w:t xml:space="preserve"> </w:t>
      </w:r>
      <w:r>
        <w:t xml:space="preserve">(31)</w:t>
      </w:r>
      <w:r>
        <w:t xml:space="preserve"> </w:t>
      </w:r>
      <w:r>
        <w:t xml:space="preserve">are evaluating the use of PI3K-AKT-MTOR inhibitors</w:t>
      </w:r>
      <w:r>
        <w:t xml:space="preserve"> </w:t>
      </w:r>
      <w:r>
        <w:t xml:space="preserve">in advanced metastatic BC patients, here we show weak</w:t>
      </w:r>
      <w:r>
        <w:t xml:space="preserve"> </w:t>
      </w:r>
      <w:r>
        <w:t xml:space="preserve">evidence on the molecular level that such treatment could benefit</w:t>
      </w:r>
      <w:r>
        <w:t xml:space="preserve"> </w:t>
      </w:r>
      <w:r>
        <w:t xml:space="preserve">early stage primary BC patients.</w:t>
      </w:r>
    </w:p>
    <w:bookmarkEnd w:id="37"/>
    <w:bookmarkEnd w:id="38"/>
    <w:bookmarkStart w:id="39" w:name="discussion"/>
    <w:p>
      <w:pPr>
        <w:pStyle w:val="Heading1"/>
      </w:pPr>
      <w:r>
        <w:t xml:space="preserve">Discussion</w:t>
      </w:r>
    </w:p>
    <w:p>
      <w:pPr>
        <w:pStyle w:val="FirstParagraph"/>
      </w:pPr>
      <w:r>
        <w:t xml:space="preserve">Personalized medicine is a key topic in medicine and BC</w:t>
      </w:r>
      <w:r>
        <w:t xml:space="preserve"> </w:t>
      </w:r>
      <w:r>
        <w:t xml:space="preserve">(32)</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is highly dependent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(33)</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(16)</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(34)</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(22,35)</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39"/>
    <w:bookmarkStart w:id="129" w:name="references"/>
    <w:p>
      <w:pPr>
        <w:pStyle w:val="Heading1"/>
      </w:pPr>
      <w:r>
        <w:t xml:space="preserve">References</w:t>
      </w:r>
    </w:p>
    <w:bookmarkStart w:id="108" w:name="refs"/>
    <w:bookmarkStart w:id="40"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0"/>
    <w:bookmarkStart w:id="42"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1">
        <w:r>
          <w:rPr>
            <w:rStyle w:val="Hyperlink"/>
          </w:rPr>
          <w:t xml:space="preserve">https://doi.org/10.1023/a:1020299707510</w:t>
        </w:r>
      </w:hyperlink>
    </w:p>
    <w:bookmarkEnd w:id="42"/>
    <w:bookmarkStart w:id="44"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3">
        <w:r>
          <w:rPr>
            <w:rStyle w:val="Hyperlink"/>
          </w:rPr>
          <w:t xml:space="preserve">https://doi.org/10.1200/jco.19.02309</w:t>
        </w:r>
      </w:hyperlink>
    </w:p>
    <w:bookmarkEnd w:id="44"/>
    <w:bookmarkStart w:id="46"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5">
        <w:r>
          <w:rPr>
            <w:rStyle w:val="Hyperlink"/>
          </w:rPr>
          <w:t xml:space="preserve">https://doi.org/10.1038/s41523-021-00308-7</w:t>
        </w:r>
      </w:hyperlink>
    </w:p>
    <w:bookmarkEnd w:id="46"/>
    <w:bookmarkStart w:id="48"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47">
        <w:r>
          <w:rPr>
            <w:rStyle w:val="Hyperlink"/>
          </w:rPr>
          <w:t xml:space="preserve">https://doi.org/10.1056/nejmoa1602253</w:t>
        </w:r>
      </w:hyperlink>
    </w:p>
    <w:bookmarkEnd w:id="48"/>
    <w:bookmarkStart w:id="50"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49">
        <w:r>
          <w:rPr>
            <w:rStyle w:val="Hyperlink"/>
          </w:rPr>
          <w:t xml:space="preserve">https://doi.org/10.1200/jco.2008.18.1370</w:t>
        </w:r>
      </w:hyperlink>
    </w:p>
    <w:bookmarkEnd w:id="50"/>
    <w:bookmarkStart w:id="52"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1">
        <w:r>
          <w:rPr>
            <w:rStyle w:val="Hyperlink"/>
          </w:rPr>
          <w:t xml:space="preserve">https://doi.org/10.1056/nejmoa1804710</w:t>
        </w:r>
      </w:hyperlink>
    </w:p>
    <w:bookmarkEnd w:id="52"/>
    <w:bookmarkStart w:id="54"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3">
        <w:r>
          <w:rPr>
            <w:rStyle w:val="Hyperlink"/>
          </w:rPr>
          <w:t xml:space="preserve">https://doi.org/10.1158/1078-0432.ccr-11-0926</w:t>
        </w:r>
      </w:hyperlink>
    </w:p>
    <w:bookmarkEnd w:id="54"/>
    <w:bookmarkStart w:id="56"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5">
        <w:r>
          <w:rPr>
            <w:rStyle w:val="Hyperlink"/>
          </w:rPr>
          <w:t xml:space="preserve">https://doi.org/10.1186/bcr3038</w:t>
        </w:r>
      </w:hyperlink>
    </w:p>
    <w:bookmarkEnd w:id="56"/>
    <w:bookmarkStart w:id="58"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57">
        <w:r>
          <w:rPr>
            <w:rStyle w:val="Hyperlink"/>
          </w:rPr>
          <w:t xml:space="preserve">https://doi.org/10.1200/jco.22.00069</w:t>
        </w:r>
      </w:hyperlink>
    </w:p>
    <w:bookmarkEnd w:id="58"/>
    <w:bookmarkStart w:id="60"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59">
        <w:r>
          <w:rPr>
            <w:rStyle w:val="Hyperlink"/>
          </w:rPr>
          <w:t xml:space="preserve">https://doi.org/10.1200/jco.20.00853</w:t>
        </w:r>
      </w:hyperlink>
    </w:p>
    <w:bookmarkEnd w:id="60"/>
    <w:bookmarkStart w:id="62"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61">
        <w:r>
          <w:rPr>
            <w:rStyle w:val="Hyperlink"/>
          </w:rPr>
          <w:t xml:space="preserve">https://doi.org/10.1038/nbt.2931</w:t>
        </w:r>
      </w:hyperlink>
    </w:p>
    <w:bookmarkEnd w:id="62"/>
    <w:bookmarkStart w:id="64"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63">
        <w:r>
          <w:rPr>
            <w:rStyle w:val="Hyperlink"/>
          </w:rPr>
          <w:t xml:space="preserve">https://doi.org/10.1093/nargab/lqaa078</w:t>
        </w:r>
      </w:hyperlink>
    </w:p>
    <w:bookmarkEnd w:id="64"/>
    <w:bookmarkStart w:id="66"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65">
        <w:r>
          <w:rPr>
            <w:rStyle w:val="Hyperlink"/>
          </w:rPr>
          <w:t xml:space="preserve">https://doi.org/10.1093/bioinformatics/bty117</w:t>
        </w:r>
      </w:hyperlink>
    </w:p>
    <w:bookmarkEnd w:id="66"/>
    <w:bookmarkStart w:id="68"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67">
        <w:r>
          <w:rPr>
            <w:rStyle w:val="Hyperlink"/>
          </w:rPr>
          <w:t xml:space="preserve">https://doi.org/10.1038/nature11412</w:t>
        </w:r>
      </w:hyperlink>
    </w:p>
    <w:bookmarkEnd w:id="68"/>
    <w:bookmarkStart w:id="70"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9">
        <w:r>
          <w:rPr>
            <w:rStyle w:val="Hyperlink"/>
          </w:rPr>
          <w:t xml:space="preserve">https://doi.org/10.1186/s13073-015-0131-9</w:t>
        </w:r>
      </w:hyperlink>
    </w:p>
    <w:bookmarkEnd w:id="70"/>
    <w:bookmarkStart w:id="72"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71">
        <w:r>
          <w:rPr>
            <w:rStyle w:val="Hyperlink"/>
          </w:rPr>
          <w:t xml:space="preserve">https://doi.org/10.1038/nature10983</w:t>
        </w:r>
      </w:hyperlink>
    </w:p>
    <w:bookmarkEnd w:id="72"/>
    <w:bookmarkStart w:id="74"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73">
        <w:r>
          <w:rPr>
            <w:rStyle w:val="Hyperlink"/>
          </w:rPr>
          <w:t xml:space="preserve">https://doi.org/10.1186/s13058-019-1223-z</w:t>
        </w:r>
      </w:hyperlink>
    </w:p>
    <w:bookmarkEnd w:id="74"/>
    <w:bookmarkStart w:id="76"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75">
        <w:r>
          <w:rPr>
            <w:rStyle w:val="Hyperlink"/>
          </w:rPr>
          <w:t xml:space="preserve">https://doi.org/10.1073/pnas.0506580102</w:t>
        </w:r>
      </w:hyperlink>
    </w:p>
    <w:bookmarkEnd w:id="76"/>
    <w:bookmarkStart w:id="78"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77">
        <w:r>
          <w:rPr>
            <w:rStyle w:val="Hyperlink"/>
          </w:rPr>
          <w:t xml:space="preserve">https://doi.org/10.1093/bioinformatics/btr260</w:t>
        </w:r>
      </w:hyperlink>
    </w:p>
    <w:bookmarkEnd w:id="78"/>
    <w:bookmarkStart w:id="79"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79"/>
    <w:bookmarkStart w:id="81"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80">
        <w:r>
          <w:rPr>
            <w:rStyle w:val="Hyperlink"/>
          </w:rPr>
          <w:t xml:space="preserve">https://doi.org/10.1093/nar/gkaa802</w:t>
        </w:r>
      </w:hyperlink>
    </w:p>
    <w:bookmarkEnd w:id="81"/>
    <w:bookmarkStart w:id="83"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82">
        <w:r>
          <w:rPr>
            <w:rStyle w:val="Hyperlink"/>
          </w:rPr>
          <w:t xml:space="preserve">https://github.com/kevinblighe/PCAtools</w:t>
        </w:r>
      </w:hyperlink>
    </w:p>
    <w:bookmarkEnd w:id="83"/>
    <w:bookmarkStart w:id="85"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84">
        <w:r>
          <w:rPr>
            <w:rStyle w:val="Hyperlink"/>
          </w:rPr>
          <w:t xml:space="preserve">https://doi.org/10.1186/1471-2105-14-7</w:t>
        </w:r>
      </w:hyperlink>
    </w:p>
    <w:bookmarkEnd w:id="85"/>
    <w:bookmarkStart w:id="87"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86">
        <w:r>
          <w:rPr>
            <w:rStyle w:val="Hyperlink"/>
          </w:rPr>
          <w:t xml:space="preserve">https://doi.org/10.1038/s41523-019-0111-0</w:t>
        </w:r>
      </w:hyperlink>
    </w:p>
    <w:bookmarkEnd w:id="87"/>
    <w:bookmarkStart w:id="89"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88">
        <w:r>
          <w:rPr>
            <w:rStyle w:val="Hyperlink"/>
          </w:rPr>
          <w:t xml:space="preserve">https://doi.org/10.1038/ng1180</w:t>
        </w:r>
      </w:hyperlink>
    </w:p>
    <w:bookmarkEnd w:id="89"/>
    <w:bookmarkStart w:id="91"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90">
        <w:r>
          <w:rPr>
            <w:rStyle w:val="Hyperlink"/>
          </w:rPr>
          <w:t xml:space="preserve">https://mc-stan.org/rstanarm/</w:t>
        </w:r>
      </w:hyperlink>
    </w:p>
    <w:bookmarkEnd w:id="91"/>
    <w:bookmarkStart w:id="93"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92">
        <w:r>
          <w:rPr>
            <w:rStyle w:val="Hyperlink"/>
          </w:rPr>
          <w:t xml:space="preserve">http://mjskay.github.io/tidybayes/</w:t>
        </w:r>
      </w:hyperlink>
    </w:p>
    <w:bookmarkEnd w:id="93"/>
    <w:bookmarkStart w:id="95"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94">
        <w:r>
          <w:rPr>
            <w:rStyle w:val="Hyperlink"/>
          </w:rPr>
          <w:t xml:space="preserve">https://doi.org/10.1038/s41467-018-04129-4</w:t>
        </w:r>
      </w:hyperlink>
    </w:p>
    <w:bookmarkEnd w:id="95"/>
    <w:bookmarkStart w:id="97"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96">
        <w:r>
          <w:rPr>
            <w:rStyle w:val="Hyperlink"/>
          </w:rPr>
          <w:t xml:space="preserve">https://doi.org/10.1093/jncimonographs/lgr034</w:t>
        </w:r>
      </w:hyperlink>
    </w:p>
    <w:bookmarkEnd w:id="97"/>
    <w:bookmarkStart w:id="99" w:name="ref-Capiva"/>
    <w:p>
      <w:pPr>
        <w:pStyle w:val="Bibliography"/>
      </w:pPr>
      <w:r>
        <w:t xml:space="preserve">31.</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98">
        <w:r>
          <w:rPr>
            <w:rStyle w:val="Hyperlink"/>
          </w:rPr>
          <w:t xml:space="preserve">https://clinicaltrials.gov/ct2/show/NCT04305496</w:t>
        </w:r>
      </w:hyperlink>
      <w:r>
        <w:t xml:space="preserve">; 2020.</w:t>
      </w:r>
      <w:r>
        <w:t xml:space="preserve"> </w:t>
      </w:r>
    </w:p>
    <w:bookmarkEnd w:id="99"/>
    <w:bookmarkStart w:id="101" w:name="ref-Scabia2022"/>
    <w:p>
      <w:pPr>
        <w:pStyle w:val="Bibliography"/>
      </w:pPr>
      <w:r>
        <w:t xml:space="preserve">32.</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100">
        <w:r>
          <w:rPr>
            <w:rStyle w:val="Hyperlink"/>
          </w:rPr>
          <w:t xml:space="preserve">https://doi.org/10.1038/s41467-022-30898-0</w:t>
        </w:r>
      </w:hyperlink>
    </w:p>
    <w:bookmarkEnd w:id="101"/>
    <w:bookmarkStart w:id="103" w:name="ref-Arima2018"/>
    <w:p>
      <w:pPr>
        <w:pStyle w:val="Bibliography"/>
      </w:pPr>
      <w:r>
        <w:t xml:space="preserve">33.</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02">
        <w:r>
          <w:rPr>
            <w:rStyle w:val="Hyperlink"/>
          </w:rPr>
          <w:t xml:space="preserve">https://doi.org/10.3892/ol.2018.9633</w:t>
        </w:r>
      </w:hyperlink>
    </w:p>
    <w:bookmarkEnd w:id="103"/>
    <w:bookmarkStart w:id="105" w:name="ref-Hickey2021"/>
    <w:p>
      <w:pPr>
        <w:pStyle w:val="Bibliography"/>
      </w:pPr>
      <w:r>
        <w:t xml:space="preserve">34.</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04">
        <w:r>
          <w:rPr>
            <w:rStyle w:val="Hyperlink"/>
          </w:rPr>
          <w:t xml:space="preserve">https://doi.org/10.1038/s41591-020-01168-7</w:t>
        </w:r>
      </w:hyperlink>
    </w:p>
    <w:bookmarkEnd w:id="105"/>
    <w:bookmarkStart w:id="107" w:name="ref-Foroutan2018"/>
    <w:p>
      <w:pPr>
        <w:pStyle w:val="Bibliography"/>
      </w:pPr>
      <w:r>
        <w:t xml:space="preserve">35.</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06">
        <w:r>
          <w:rPr>
            <w:rStyle w:val="Hyperlink"/>
          </w:rPr>
          <w:t xml:space="preserve">https://doi.org/10.1186/s12859-018-2435-4</w:t>
        </w:r>
      </w:hyperlink>
    </w:p>
    <w:bookmarkEnd w:id="107"/>
    <w:bookmarkEnd w:id="108"/>
    <w:p>
      <w:r>
        <w:br w:type="page"/>
      </w:r>
    </w:p>
    <w:tbl>
      <w:tblPr>
        <w:tblStyle w:val="Table"/>
        <w:tblW w:type="pct" w:w="5000"/>
        <w:tblLook w:firstRow="0" w:lastRow="0" w:firstColumn="0" w:lastColumn="0" w:noHBand="0" w:noVBand="0" w:val="0000"/>
      </w:tblPr>
      <w:tblGrid>
        <w:gridCol w:w="7920"/>
      </w:tblGrid>
      <w:tr>
        <w:tc>
          <w:tcPr/>
          <w:bookmarkStart w:id="112" w:name="fig-01"/>
          <w:p>
            <w:pPr>
              <w:pStyle w:val="Figure"/>
              <w:jc w:val="center"/>
            </w:pPr>
            <w:r>
              <w:drawing>
                <wp:inline>
                  <wp:extent cx="5334000" cy="4124722"/>
                  <wp:effectExtent b="0" l="0" r="0" t="0"/>
                  <wp:docPr descr="" title="" id="110" name="Picture"/>
                  <a:graphic>
                    <a:graphicData uri="http://schemas.openxmlformats.org/drawingml/2006/picture">
                      <pic:pic>
                        <pic:nvPicPr>
                          <pic:cNvPr descr="images/png/figure01.png" id="111" name="Picture"/>
                          <pic:cNvPicPr>
                            <a:picLocks noChangeArrowheads="1" noChangeAspect="1"/>
                          </pic:cNvPicPr>
                        </pic:nvPicPr>
                        <pic:blipFill>
                          <a:blip r:embed="rId109"/>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112"/>
        </w:tc>
      </w:tr>
    </w:tbl>
    <w:p>
      <w:r>
        <w:br w:type="page"/>
      </w:r>
    </w:p>
    <w:tbl>
      <w:tblPr>
        <w:tblStyle w:val="Table"/>
        <w:tblW w:type="pct" w:w="5000"/>
        <w:tblLook w:firstRow="0" w:lastRow="0" w:firstColumn="0" w:lastColumn="0" w:noHBand="0" w:noVBand="0" w:val="0000"/>
      </w:tblPr>
      <w:tblGrid>
        <w:gridCol w:w="7920"/>
      </w:tblGrid>
      <w:tr>
        <w:tc>
          <w:tcPr/>
          <w:bookmarkStart w:id="116" w:name="fig-02"/>
          <w:p>
            <w:pPr>
              <w:pStyle w:val="Figure"/>
              <w:jc w:val="center"/>
            </w:pPr>
            <w:r>
              <w:drawing>
                <wp:inline>
                  <wp:extent cx="5334000" cy="5449210"/>
                  <wp:effectExtent b="0" l="0" r="0" t="0"/>
                  <wp:docPr descr="" title="" id="114" name="Picture"/>
                  <a:graphic>
                    <a:graphicData uri="http://schemas.openxmlformats.org/drawingml/2006/picture">
                      <pic:pic>
                        <pic:nvPicPr>
                          <pic:cNvPr descr="images/png/figure02.png" id="115" name="Picture"/>
                          <pic:cNvPicPr>
                            <a:picLocks noChangeArrowheads="1" noChangeAspect="1"/>
                          </pic:cNvPicPr>
                        </pic:nvPicPr>
                        <pic:blipFill>
                          <a:blip r:embed="rId113"/>
                          <a:stretch>
                            <a:fillRect/>
                          </a:stretch>
                        </pic:blipFill>
                        <pic:spPr bwMode="auto">
                          <a:xfrm>
                            <a:off x="0" y="0"/>
                            <a:ext cx="5334000" cy="5449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116"/>
        </w:tc>
      </w:tr>
    </w:tbl>
    <w:p>
      <w:r>
        <w:br w:type="page"/>
      </w:r>
    </w:p>
    <w:tbl>
      <w:tblPr>
        <w:tblStyle w:val="Table"/>
        <w:tblW w:type="pct" w:w="5000"/>
        <w:tblLook w:firstRow="0" w:lastRow="0" w:firstColumn="0" w:lastColumn="0" w:noHBand="0" w:noVBand="0" w:val="0000"/>
      </w:tblPr>
      <w:tblGrid>
        <w:gridCol w:w="7920"/>
      </w:tblGrid>
      <w:tr>
        <w:tc>
          <w:tcPr/>
          <w:bookmarkStart w:id="120" w:name="fig-03"/>
          <w:p>
            <w:pPr>
              <w:pStyle w:val="Figure"/>
              <w:jc w:val="center"/>
            </w:pPr>
            <w:r>
              <w:drawing>
                <wp:inline>
                  <wp:extent cx="5334000" cy="3794497"/>
                  <wp:effectExtent b="0" l="0" r="0" t="0"/>
                  <wp:docPr descr="" title="" id="118" name="Picture"/>
                  <a:graphic>
                    <a:graphicData uri="http://schemas.openxmlformats.org/drawingml/2006/picture">
                      <pic:pic>
                        <pic:nvPicPr>
                          <pic:cNvPr descr="images/png/figure03.png" id="119" name="Picture"/>
                          <pic:cNvPicPr>
                            <a:picLocks noChangeArrowheads="1" noChangeAspect="1"/>
                          </pic:cNvPicPr>
                        </pic:nvPicPr>
                        <pic:blipFill>
                          <a:blip r:embed="rId117"/>
                          <a:stretch>
                            <a:fillRect/>
                          </a:stretch>
                        </pic:blipFill>
                        <pic:spPr bwMode="auto">
                          <a:xfrm>
                            <a:off x="0" y="0"/>
                            <a:ext cx="5334000" cy="3794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120"/>
        </w:tc>
      </w:tr>
    </w:tbl>
    <w:p>
      <w:r>
        <w:br w:type="page"/>
      </w:r>
    </w:p>
    <w:tbl>
      <w:tblPr>
        <w:tblStyle w:val="Table"/>
        <w:tblW w:type="pct" w:w="5000"/>
        <w:tblLook w:firstRow="0" w:lastRow="0" w:firstColumn="0" w:lastColumn="0" w:noHBand="0" w:noVBand="0" w:val="0000"/>
      </w:tblPr>
      <w:tblGrid>
        <w:gridCol w:w="7920"/>
      </w:tblGrid>
      <w:tr>
        <w:tc>
          <w:tcPr/>
          <w:bookmarkStart w:id="124" w:name="fig-04"/>
          <w:p>
            <w:pPr>
              <w:pStyle w:val="Figure"/>
              <w:jc w:val="center"/>
            </w:pPr>
            <w:r>
              <w:drawing>
                <wp:inline>
                  <wp:extent cx="5334000" cy="2806147"/>
                  <wp:effectExtent b="0" l="0" r="0" t="0"/>
                  <wp:docPr descr="" title="" id="122" name="Picture"/>
                  <a:graphic>
                    <a:graphicData uri="http://schemas.openxmlformats.org/drawingml/2006/picture">
                      <pic:pic>
                        <pic:nvPicPr>
                          <pic:cNvPr descr="images/png/figure04.png" id="123" name="Picture"/>
                          <pic:cNvPicPr>
                            <a:picLocks noChangeArrowheads="1" noChangeAspect="1"/>
                          </pic:cNvPicPr>
                        </pic:nvPicPr>
                        <pic:blipFill>
                          <a:blip r:embed="rId121"/>
                          <a:stretch>
                            <a:fillRect/>
                          </a:stretch>
                        </pic:blipFill>
                        <pic:spPr bwMode="auto">
                          <a:xfrm>
                            <a:off x="0" y="0"/>
                            <a:ext cx="5334000" cy="28061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124"/>
        </w:tc>
      </w:tr>
    </w:tbl>
    <w:p>
      <w:r>
        <w:br w:type="page"/>
      </w:r>
    </w:p>
    <w:tbl>
      <w:tblPr>
        <w:tblStyle w:val="Table"/>
        <w:tblW w:type="pct" w:w="5000"/>
        <w:tblLook w:firstRow="0" w:lastRow="0" w:firstColumn="0" w:lastColumn="0" w:noHBand="0" w:noVBand="0" w:val="0000"/>
      </w:tblPr>
      <w:tblGrid>
        <w:gridCol w:w="7920"/>
      </w:tblGrid>
      <w:tr>
        <w:tc>
          <w:tcPr/>
          <w:bookmarkStart w:id="128" w:name="fig-05"/>
          <w:p>
            <w:pPr>
              <w:pStyle w:val="Figure"/>
              <w:jc w:val="center"/>
            </w:pPr>
            <w:r>
              <w:drawing>
                <wp:inline>
                  <wp:extent cx="5334000" cy="5877692"/>
                  <wp:effectExtent b="0" l="0" r="0" t="0"/>
                  <wp:docPr descr="" title="" id="126" name="Picture"/>
                  <a:graphic>
                    <a:graphicData uri="http://schemas.openxmlformats.org/drawingml/2006/picture">
                      <pic:pic>
                        <pic:nvPicPr>
                          <pic:cNvPr descr="images/png/figure05.png" id="127" name="Picture"/>
                          <pic:cNvPicPr>
                            <a:picLocks noChangeArrowheads="1" noChangeAspect="1"/>
                          </pic:cNvPicPr>
                        </pic:nvPicPr>
                        <pic:blipFill>
                          <a:blip r:embed="rId125"/>
                          <a:stretch>
                            <a:fillRect/>
                          </a:stretch>
                        </pic:blipFill>
                        <pic:spPr bwMode="auto">
                          <a:xfrm>
                            <a:off x="0" y="0"/>
                            <a:ext cx="5334000" cy="5877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28"/>
        </w:tc>
      </w:tr>
    </w:tbl>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98" Target="https://clinicaltrials.gov/ct2/show/NCT04305496"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100" Target="https://doi.org/10.1038/s41467-022-30898-0"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4"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6"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102"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98" Target="https://clinicaltrials.gov/ct2/show/NCT04305496"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100" Target="https://doi.org/10.1038/s41467-022-30898-0"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4"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6"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102"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data integration tool for personalized medicine in Breast Cancer</dc:title>
  <dc:creator>Carlos Ronchi, Cathrin Brisken</dc:creator>
  <cp:keywords/>
  <dcterms:created xsi:type="dcterms:W3CDTF">2023-02-03T12:09:58Z</dcterms:created>
  <dcterms:modified xsi:type="dcterms:W3CDTF">2023-02-03T12:09:58Z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